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ascii="宋体" w:hAnsi="宋体" w:cs="宋体"/>
          <w:b/>
          <w:bCs/>
          <w:sz w:val="44"/>
          <w:szCs w:val="44"/>
        </w:rPr>
      </w:pPr>
    </w:p>
    <w:p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 xml:space="preserve">Wireless module </w:t>
      </w:r>
      <w:r>
        <w:rPr>
          <w:rFonts w:hint="default" w:ascii="宋体" w:hAnsi="宋体" w:cs="宋体"/>
          <w:b/>
          <w:bCs/>
          <w:sz w:val="44"/>
          <w:szCs w:val="44"/>
        </w:rPr>
        <w:t>Ling-TR2</w:t>
      </w:r>
      <w:r>
        <w:rPr>
          <w:rFonts w:hint="eastAsia" w:ascii="宋体" w:hAnsi="宋体" w:cs="宋体"/>
          <w:b/>
          <w:bCs/>
          <w:sz w:val="44"/>
          <w:szCs w:val="44"/>
        </w:rPr>
        <w:t xml:space="preserve"> specification</w:t>
      </w:r>
    </w:p>
    <w:p>
      <w:pPr>
        <w:jc w:val="center"/>
        <w:rPr>
          <w:rFonts w:ascii="宋体" w:hAnsi="宋体"/>
          <w:b/>
          <w:bCs/>
          <w:sz w:val="32"/>
          <w:szCs w:val="32"/>
        </w:rPr>
      </w:pPr>
    </w:p>
    <w:p>
      <w:pPr>
        <w:jc w:val="center"/>
        <w:rPr>
          <w:rFonts w:ascii="宋体" w:hAnsi="宋体"/>
          <w:b/>
          <w:bCs/>
          <w:sz w:val="32"/>
          <w:szCs w:val="32"/>
        </w:rPr>
      </w:pPr>
    </w:p>
    <w:p>
      <w:pPr>
        <w:jc w:val="center"/>
        <w:rPr>
          <w:rFonts w:ascii="宋体" w:hAnsi="宋体"/>
          <w:b/>
          <w:bCs/>
          <w:sz w:val="32"/>
          <w:szCs w:val="32"/>
        </w:rPr>
      </w:pPr>
    </w:p>
    <w:p>
      <w:pPr>
        <w:jc w:val="center"/>
        <w:rPr>
          <w:rFonts w:ascii="宋体" w:hAnsi="宋体"/>
          <w:sz w:val="24"/>
        </w:rPr>
      </w:pPr>
      <w:bookmarkStart w:id="1" w:name="_GoBack"/>
      <w:r>
        <w:rPr>
          <w:rFonts w:ascii="宋体" w:hAnsi="宋体"/>
          <w:sz w:val="24"/>
        </w:rPr>
        <w:drawing>
          <wp:inline distT="0" distB="0" distL="114300" distR="114300">
            <wp:extent cx="4203065" cy="2066925"/>
            <wp:effectExtent l="0" t="0" r="13335" b="15875"/>
            <wp:docPr id="9" name="图片 9" descr="LC12S新主图-正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LC12S新主图-正面"/>
                    <pic:cNvPicPr>
                      <a:picLocks noChangeAspect="1"/>
                    </pic:cNvPicPr>
                  </pic:nvPicPr>
                  <pic:blipFill>
                    <a:blip r:embed="rId10"/>
                    <a:srcRect t="24163" b="26663"/>
                    <a:stretch>
                      <a:fillRect/>
                    </a:stretch>
                  </pic:blipFill>
                  <pic:spPr>
                    <a:xfrm>
                      <a:off x="0" y="0"/>
                      <a:ext cx="42030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>
      <w:pPr>
        <w:jc w:val="both"/>
        <w:rPr>
          <w:rFonts w:hint="eastAsia" w:ascii="宋体" w:hAnsi="宋体"/>
          <w:sz w:val="24"/>
        </w:rPr>
      </w:pPr>
    </w:p>
    <w:p>
      <w:pPr>
        <w:jc w:val="both"/>
        <w:rPr>
          <w:rFonts w:ascii="宋体" w:hAnsi="宋体"/>
          <w:sz w:val="24"/>
        </w:rPr>
      </w:pPr>
    </w:p>
    <w:p>
      <w:pPr>
        <w:spacing w:line="0" w:lineRule="atLeast"/>
        <w:rPr>
          <w:rFonts w:hint="eastAsia" w:ascii="宋体" w:hAnsi="宋体" w:cs="宋体"/>
          <w:b/>
          <w:sz w:val="24"/>
          <w:szCs w:val="24"/>
        </w:rPr>
      </w:pPr>
    </w:p>
    <w:p>
      <w:pPr>
        <w:spacing w:line="0" w:lineRule="atLeast"/>
        <w:rPr>
          <w:rFonts w:hint="eastAsia" w:ascii="宋体" w:hAnsi="宋体" w:cs="宋体"/>
          <w:b/>
          <w:sz w:val="24"/>
          <w:szCs w:val="24"/>
        </w:rPr>
      </w:pPr>
    </w:p>
    <w:p>
      <w:pPr>
        <w:spacing w:line="0" w:lineRule="atLeast"/>
        <w:rPr>
          <w:rFonts w:hint="eastAsia" w:ascii="宋体" w:hAnsi="宋体" w:cs="宋体"/>
          <w:b/>
          <w:sz w:val="24"/>
          <w:szCs w:val="24"/>
        </w:rPr>
      </w:pPr>
    </w:p>
    <w:p>
      <w:pPr>
        <w:spacing w:line="0" w:lineRule="atLeast"/>
        <w:rPr>
          <w:rFonts w:ascii="宋体" w:hAnsi="宋体"/>
          <w:sz w:val="28"/>
          <w:szCs w:val="28"/>
        </w:rPr>
      </w:pPr>
      <w:r>
        <w:rPr>
          <w:rFonts w:hint="default" w:ascii="宋体" w:hAnsi="宋体" w:cs="宋体"/>
          <w:b/>
          <w:sz w:val="24"/>
          <w:szCs w:val="24"/>
        </w:rPr>
        <w:t>1、I</w:t>
      </w:r>
      <w:r>
        <w:rPr>
          <w:rFonts w:hint="eastAsia" w:ascii="宋体" w:hAnsi="宋体" w:cs="宋体"/>
          <w:b/>
          <w:sz w:val="24"/>
          <w:szCs w:val="24"/>
        </w:rPr>
        <w:t>ntroduction</w:t>
      </w:r>
    </w:p>
    <w:p>
      <w:pPr>
        <w:pStyle w:val="5"/>
        <w:spacing w:line="360" w:lineRule="auto"/>
        <w:rPr>
          <w:rFonts w:ascii="宋体" w:hAnsi="宋体"/>
          <w:sz w:val="21"/>
          <w:szCs w:val="21"/>
        </w:rPr>
      </w:pPr>
      <w:bookmarkStart w:id="0" w:name="OLE_LINK5"/>
      <w:r>
        <w:rPr>
          <w:rFonts w:hint="eastAsia" w:ascii="宋体" w:hAnsi="宋体"/>
          <w:sz w:val="21"/>
          <w:szCs w:val="21"/>
        </w:rPr>
        <w:t>Ling-TR2</w:t>
      </w:r>
      <w:r>
        <w:rPr>
          <w:rFonts w:hint="default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adopts 2.4G SOC technology, which is development-free; module communication is about 100 m, serial transparent transmission and high integration of the serial communication can complete the development of remote control products and data transmission products.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HYPERLINK "http://baike.baidu.com/view/923426.htm" \t "http://baike.baidu.com/_blank"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sz w:val="21"/>
          <w:szCs w:val="21"/>
        </w:rPr>
        <w:fldChar w:fldCharType="end"/>
      </w:r>
      <w:bookmarkEnd w:id="0"/>
    </w:p>
    <w:p>
      <w:pPr>
        <w:spacing w:line="394" w:lineRule="exact"/>
        <w:rPr>
          <w:rFonts w:ascii="宋体" w:hAnsi="宋体" w:cs="宋体"/>
          <w:sz w:val="21"/>
          <w:szCs w:val="21"/>
        </w:rPr>
      </w:pPr>
    </w:p>
    <w:p>
      <w:pPr>
        <w:spacing w:line="394" w:lineRule="exact"/>
        <w:rPr>
          <w:rFonts w:ascii="宋体" w:hAnsi="宋体" w:cs="宋体"/>
          <w:sz w:val="21"/>
          <w:szCs w:val="21"/>
        </w:rPr>
      </w:pPr>
    </w:p>
    <w:p>
      <w:pPr>
        <w:tabs>
          <w:tab w:val="left" w:pos="360"/>
        </w:tabs>
        <w:spacing w:line="0" w:lineRule="atLeast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default" w:ascii="宋体" w:hAnsi="宋体" w:cs="宋体"/>
          <w:b/>
          <w:sz w:val="24"/>
          <w:szCs w:val="24"/>
        </w:rPr>
        <w:t>2 、C</w:t>
      </w:r>
      <w:r>
        <w:rPr>
          <w:rFonts w:hint="eastAsia" w:ascii="宋体" w:hAnsi="宋体" w:cs="宋体"/>
          <w:b/>
          <w:sz w:val="24"/>
          <w:szCs w:val="24"/>
        </w:rPr>
        <w:t>haracteristics</w:t>
      </w:r>
    </w:p>
    <w:p>
      <w:pPr>
        <w:spacing w:line="225" w:lineRule="exact"/>
        <w:rPr>
          <w:rFonts w:ascii="宋体" w:hAnsi="宋体" w:cs="宋体"/>
          <w:b/>
          <w:sz w:val="21"/>
          <w:szCs w:val="21"/>
        </w:rPr>
      </w:pPr>
    </w:p>
    <w:p>
      <w:pPr>
        <w:spacing w:line="263" w:lineRule="auto"/>
        <w:ind w:right="512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semi-duplex communication</w:t>
      </w:r>
    </w:p>
    <w:p>
      <w:pPr>
        <w:spacing w:line="64" w:lineRule="exact"/>
        <w:rPr>
          <w:rFonts w:ascii="宋体" w:hAnsi="宋体" w:cs="宋体"/>
          <w:b/>
          <w:sz w:val="21"/>
          <w:szCs w:val="21"/>
        </w:rPr>
      </w:pPr>
    </w:p>
    <w:p>
      <w:pPr>
        <w:spacing w:line="288" w:lineRule="auto"/>
        <w:ind w:right="204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2.4GHz ISM band</w:t>
      </w:r>
    </w:p>
    <w:p>
      <w:pPr>
        <w:spacing w:line="288" w:lineRule="auto"/>
        <w:ind w:right="204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power supply voltage</w:t>
      </w:r>
      <w:r>
        <w:rPr>
          <w:rFonts w:hint="default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2.8-3.6V</w:t>
      </w:r>
    </w:p>
    <w:p>
      <w:pPr>
        <w:spacing w:line="288" w:lineRule="auto"/>
        <w:ind w:right="204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reception sensitivity</w:t>
      </w:r>
      <w:r>
        <w:rPr>
          <w:rFonts w:hint="default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-95dBm</w:t>
      </w:r>
    </w:p>
    <w:p>
      <w:pPr>
        <w:spacing w:line="288" w:lineRule="auto"/>
        <w:ind w:right="2040"/>
        <w:rPr>
          <w:rFonts w:ascii="宋体" w:hAnsi="宋体" w:cs="宋体"/>
          <w:b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emission operating current 40mA</w:t>
      </w:r>
    </w:p>
    <w:p>
      <w:pPr>
        <w:spacing w:line="263" w:lineRule="auto"/>
        <w:ind w:right="634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receives an operating current 27mA</w:t>
      </w:r>
    </w:p>
    <w:p>
      <w:pPr>
        <w:spacing w:line="263" w:lineRule="auto"/>
        <w:ind w:right="634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sleep current 9.5uA</w:t>
      </w:r>
    </w:p>
    <w:p>
      <w:pPr>
        <w:spacing w:line="64" w:lineRule="exact"/>
        <w:rPr>
          <w:rFonts w:ascii="宋体" w:hAnsi="宋体" w:cs="宋体"/>
          <w:b/>
          <w:sz w:val="21"/>
          <w:szCs w:val="21"/>
        </w:rPr>
      </w:pPr>
    </w:p>
    <w:p>
      <w:pPr>
        <w:spacing w:line="288" w:lineRule="auto"/>
        <w:ind w:right="252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standard TTL level UART serial port</w:t>
      </w:r>
    </w:p>
    <w:p>
      <w:pPr>
        <w:spacing w:line="288" w:lineRule="auto"/>
        <w:ind w:right="252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● frequency can be set, with multiple modules without interference </w:t>
      </w:r>
    </w:p>
    <w:p>
      <w:pPr>
        <w:spacing w:line="24" w:lineRule="exact"/>
        <w:rPr>
          <w:rFonts w:ascii="宋体" w:hAnsi="宋体" w:cs="宋体"/>
          <w:b/>
          <w:sz w:val="21"/>
          <w:szCs w:val="21"/>
        </w:rPr>
      </w:pPr>
    </w:p>
    <w:p>
      <w:pPr>
        <w:spacing w:line="239" w:lineRule="auto"/>
        <w:jc w:val="both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sending and receiving switching is automatically completed,</w:t>
      </w:r>
    </w:p>
    <w:p>
      <w:pPr>
        <w:spacing w:line="239" w:lineRule="auto"/>
        <w:jc w:val="both"/>
        <w:rPr>
          <w:rFonts w:ascii="宋体" w:hAnsi="宋体" w:cs="宋体"/>
          <w:b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● communication rate is 0.6kbps-38.4kbps</w:t>
      </w:r>
    </w:p>
    <w:p>
      <w:pPr>
        <w:spacing w:line="57" w:lineRule="exact"/>
        <w:rPr>
          <w:rFonts w:ascii="宋体" w:hAnsi="宋体" w:cs="宋体"/>
          <w:b/>
          <w:sz w:val="21"/>
          <w:szCs w:val="21"/>
        </w:rPr>
      </w:pPr>
    </w:p>
    <w:p>
      <w:pPr>
        <w:spacing w:line="57" w:lineRule="exact"/>
        <w:rPr>
          <w:rFonts w:ascii="宋体" w:hAnsi="宋体" w:cs="宋体"/>
          <w:b/>
          <w:sz w:val="21"/>
          <w:szCs w:val="21"/>
        </w:rPr>
      </w:pPr>
    </w:p>
    <w:p>
      <w:pPr>
        <w:spacing w:line="59" w:lineRule="exact"/>
        <w:rPr>
          <w:rFonts w:ascii="宋体" w:hAnsi="宋体" w:cs="宋体"/>
          <w:b/>
          <w:sz w:val="21"/>
          <w:szCs w:val="21"/>
        </w:rPr>
      </w:pPr>
    </w:p>
    <w:p>
      <w:pPr>
        <w:spacing w:line="0" w:lineRule="atLeast"/>
        <w:rPr>
          <w:rFonts w:ascii="宋体" w:hAnsi="宋体"/>
          <w:b/>
          <w:sz w:val="24"/>
          <w:szCs w:val="24"/>
        </w:rPr>
      </w:pPr>
    </w:p>
    <w:p>
      <w:pPr>
        <w:numPr>
          <w:numId w:val="0"/>
        </w:numPr>
        <w:spacing w:line="0" w:lineRule="atLeas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3、Pin d</w:t>
      </w:r>
      <w:r>
        <w:rPr>
          <w:rFonts w:ascii="宋体" w:hAnsi="宋体"/>
          <w:b/>
          <w:sz w:val="24"/>
          <w:szCs w:val="24"/>
        </w:rPr>
        <w:t>efinition</w:t>
      </w:r>
    </w:p>
    <w:p>
      <w:pPr>
        <w:spacing w:line="0" w:lineRule="atLeast"/>
        <w:rPr>
          <w:rFonts w:ascii="宋体" w:hAnsi="宋体"/>
          <w:b/>
          <w:sz w:val="24"/>
          <w:szCs w:val="24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spacing w:line="20" w:lineRule="exact"/>
        <w:rPr>
          <w:rFonts w:ascii="宋体" w:hAnsi="宋体"/>
          <w:sz w:val="21"/>
          <w:szCs w:val="21"/>
        </w:rPr>
      </w:pPr>
    </w:p>
    <w:p>
      <w:pPr>
        <w:spacing w:line="20" w:lineRule="exact"/>
        <w:rPr>
          <w:rFonts w:ascii="宋体" w:hAnsi="宋体"/>
          <w:sz w:val="21"/>
          <w:szCs w:val="21"/>
        </w:rPr>
      </w:pPr>
    </w:p>
    <w:tbl>
      <w:tblPr>
        <w:tblStyle w:val="8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017"/>
        <w:gridCol w:w="3035"/>
        <w:gridCol w:w="3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shd w:val="clear" w:color="auto" w:fill="DCD8C2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pin</w:t>
            </w:r>
          </w:p>
        </w:tc>
        <w:tc>
          <w:tcPr>
            <w:tcW w:w="1017" w:type="dxa"/>
            <w:shd w:val="clear" w:color="auto" w:fill="DCD8C2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Lead the foot name</w:t>
            </w:r>
          </w:p>
        </w:tc>
        <w:tc>
          <w:tcPr>
            <w:tcW w:w="3035" w:type="dxa"/>
            <w:shd w:val="clear" w:color="auto" w:fill="DCD8C2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Feet function</w:t>
            </w:r>
          </w:p>
        </w:tc>
        <w:tc>
          <w:tcPr>
            <w:tcW w:w="3509" w:type="dxa"/>
            <w:shd w:val="clear" w:color="auto" w:fill="DCD8C2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1017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VCC</w:t>
            </w:r>
          </w:p>
        </w:tc>
        <w:tc>
          <w:tcPr>
            <w:tcW w:w="3035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default" w:ascii="宋体" w:hAnsi="宋体"/>
                <w:sz w:val="21"/>
                <w:szCs w:val="21"/>
              </w:rPr>
              <w:t>+</w:t>
            </w:r>
          </w:p>
        </w:tc>
        <w:tc>
          <w:tcPr>
            <w:tcW w:w="35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2.8~3.6V</w:t>
            </w:r>
            <w:r>
              <w:rPr>
                <w:rFonts w:hint="default" w:ascii="宋体" w:hAnsi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/>
                <w:sz w:val="21"/>
                <w:szCs w:val="21"/>
              </w:rPr>
              <w:t>Typical 3.3V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1017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RXD</w:t>
            </w:r>
          </w:p>
        </w:tc>
        <w:tc>
          <w:tcPr>
            <w:tcW w:w="3035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Module data input (TTL level)</w:t>
            </w:r>
          </w:p>
        </w:tc>
        <w:tc>
          <w:tcPr>
            <w:tcW w:w="35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Serial port communication data reception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</w:p>
        </w:tc>
        <w:tc>
          <w:tcPr>
            <w:tcW w:w="1017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TXD</w:t>
            </w:r>
          </w:p>
        </w:tc>
        <w:tc>
          <w:tcPr>
            <w:tcW w:w="3035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Module data output (TTL level)</w:t>
            </w:r>
          </w:p>
        </w:tc>
        <w:tc>
          <w:tcPr>
            <w:tcW w:w="35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Serial port communication data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</w:p>
        </w:tc>
        <w:tc>
          <w:tcPr>
            <w:tcW w:w="1017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SET</w:t>
            </w:r>
          </w:p>
        </w:tc>
        <w:tc>
          <w:tcPr>
            <w:tcW w:w="3035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Set </w:t>
            </w:r>
            <w:r>
              <w:rPr>
                <w:rFonts w:hint="default"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position</w:t>
            </w:r>
          </w:p>
        </w:tc>
        <w:tc>
          <w:tcPr>
            <w:tcW w:w="35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Configuration parameters enable (low level is configuration mode, suspended or high level is communication mode)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</w:p>
        </w:tc>
        <w:tc>
          <w:tcPr>
            <w:tcW w:w="1017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CS</w:t>
            </w:r>
          </w:p>
        </w:tc>
        <w:tc>
          <w:tcPr>
            <w:tcW w:w="3035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dormancy</w:t>
            </w:r>
          </w:p>
        </w:tc>
        <w:tc>
          <w:tcPr>
            <w:tcW w:w="35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Pin working at low level, suspended or dormant at high level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2" w:hRule="atLeast"/>
        </w:trPr>
        <w:tc>
          <w:tcPr>
            <w:tcW w:w="7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</w:t>
            </w:r>
          </w:p>
        </w:tc>
        <w:tc>
          <w:tcPr>
            <w:tcW w:w="1017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GND</w:t>
            </w:r>
          </w:p>
        </w:tc>
        <w:tc>
          <w:tcPr>
            <w:tcW w:w="3035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default" w:ascii="宋体" w:hAnsi="宋体"/>
                <w:sz w:val="21"/>
                <w:szCs w:val="21"/>
              </w:rPr>
              <w:t>-</w:t>
            </w:r>
          </w:p>
        </w:tc>
        <w:tc>
          <w:tcPr>
            <w:tcW w:w="35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default" w:ascii="宋体" w:hAnsi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2" w:hRule="atLeast"/>
        </w:trPr>
        <w:tc>
          <w:tcPr>
            <w:tcW w:w="7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</w:t>
            </w:r>
          </w:p>
        </w:tc>
        <w:tc>
          <w:tcPr>
            <w:tcW w:w="1017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ANT</w:t>
            </w:r>
          </w:p>
        </w:tc>
        <w:tc>
          <w:tcPr>
            <w:tcW w:w="3035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External antenna interface</w:t>
            </w:r>
          </w:p>
        </w:tc>
        <w:tc>
          <w:tcPr>
            <w:tcW w:w="3509" w:type="dxa"/>
          </w:tcPr>
          <w:p>
            <w:pPr>
              <w:widowControl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When connecting with the external antenna, the resistance at the PCB antenna connection should be removed.</w:t>
            </w:r>
          </w:p>
        </w:tc>
      </w:tr>
    </w:tbl>
    <w:p>
      <w:pPr>
        <w:spacing w:line="20" w:lineRule="exact"/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spacing w:line="0" w:lineRule="atLeast"/>
        <w:rPr>
          <w:rFonts w:ascii="宋体" w:hAnsi="宋体" w:cs="宋体"/>
          <w:b/>
          <w:sz w:val="24"/>
          <w:szCs w:val="24"/>
        </w:rPr>
      </w:pPr>
    </w:p>
    <w:p>
      <w:pPr>
        <w:spacing w:line="0" w:lineRule="atLeast"/>
        <w:rPr>
          <w:rFonts w:ascii="宋体" w:hAnsi="宋体" w:cs="宋体"/>
          <w:b/>
          <w:sz w:val="24"/>
          <w:szCs w:val="24"/>
        </w:rPr>
      </w:pPr>
    </w:p>
    <w:p>
      <w:pPr>
        <w:spacing w:line="0" w:lineRule="atLeast"/>
        <w:rPr>
          <w:rFonts w:ascii="宋体" w:hAnsi="宋体" w:cs="宋体"/>
          <w:b/>
          <w:sz w:val="24"/>
          <w:szCs w:val="24"/>
        </w:rPr>
      </w:pPr>
    </w:p>
    <w:p>
      <w:pPr>
        <w:spacing w:line="0" w:lineRule="atLeast"/>
        <w:rPr>
          <w:rFonts w:ascii="宋体" w:hAnsi="宋体" w:cs="宋体"/>
          <w:b/>
          <w:sz w:val="24"/>
          <w:szCs w:val="24"/>
        </w:rPr>
      </w:pPr>
    </w:p>
    <w:p>
      <w:pPr>
        <w:spacing w:line="0" w:lineRule="atLeast"/>
        <w:rPr>
          <w:rFonts w:ascii="宋体" w:hAnsi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b/>
          <w:sz w:val="21"/>
          <w:szCs w:val="21"/>
        </w:rPr>
      </w:pPr>
    </w:p>
    <w:p>
      <w:pPr>
        <w:spacing w:line="0" w:lineRule="atLeast"/>
        <w:rPr>
          <w:rFonts w:ascii="宋体" w:hAnsi="宋体" w:cs="宋体"/>
          <w:b/>
          <w:sz w:val="24"/>
          <w:szCs w:val="24"/>
        </w:rPr>
      </w:pPr>
      <w:r>
        <w:rPr>
          <w:rFonts w:hint="default" w:ascii="宋体" w:hAnsi="宋体"/>
          <w:b/>
          <w:sz w:val="24"/>
          <w:szCs w:val="24"/>
        </w:rPr>
        <w:t>4、</w:t>
      </w:r>
      <w:r>
        <w:rPr>
          <w:rFonts w:hint="eastAsia" w:ascii="宋体" w:hAnsi="宋体"/>
          <w:b/>
          <w:sz w:val="24"/>
          <w:szCs w:val="24"/>
        </w:rPr>
        <w:t>Product size</w:t>
      </w:r>
    </w:p>
    <w:p>
      <w:pPr>
        <w:spacing w:line="0" w:lineRule="atLeast"/>
        <w:rPr>
          <w:rFonts w:ascii="宋体" w:hAnsi="宋体" w:cs="宋体"/>
          <w:b/>
          <w:sz w:val="24"/>
          <w:szCs w:val="24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2971800" cy="1968500"/>
            <wp:effectExtent l="0" t="0" r="0" b="0"/>
            <wp:docPr id="4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</w:rPr>
      </w:pPr>
    </w:p>
    <w:p>
      <w:pPr>
        <w:jc w:val="center"/>
        <w:rPr>
          <w:rFonts w:ascii="宋体" w:hAnsi="宋体"/>
        </w:rPr>
      </w:pPr>
    </w:p>
    <w:p>
      <w:pPr>
        <w:jc w:val="center"/>
        <w:rPr>
          <w:rFonts w:ascii="宋体" w:hAnsi="宋体"/>
        </w:rPr>
      </w:pPr>
    </w:p>
    <w:p>
      <w:pPr>
        <w:spacing w:line="200" w:lineRule="exact"/>
        <w:rPr>
          <w:rFonts w:ascii="宋体" w:hAnsi="宋体"/>
        </w:rPr>
      </w:pPr>
    </w:p>
    <w:p>
      <w:pPr>
        <w:spacing w:line="200" w:lineRule="exact"/>
        <w:rPr>
          <w:rFonts w:ascii="宋体" w:hAnsi="宋体"/>
        </w:rPr>
      </w:pPr>
    </w:p>
    <w:p>
      <w:pPr>
        <w:spacing w:line="200" w:lineRule="exact"/>
        <w:rPr>
          <w:rFonts w:ascii="宋体" w:hAnsi="宋体"/>
        </w:rPr>
      </w:pPr>
    </w:p>
    <w:p>
      <w:pPr>
        <w:spacing w:line="200" w:lineRule="exact"/>
        <w:rPr>
          <w:rFonts w:ascii="宋体" w:hAnsi="宋体"/>
        </w:rPr>
      </w:pPr>
    </w:p>
    <w:p>
      <w:pPr>
        <w:spacing w:line="20" w:lineRule="exact"/>
        <w:rPr>
          <w:rFonts w:ascii="宋体" w:hAnsi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54" w:right="920" w:bottom="925" w:left="1440" w:header="0" w:footer="567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decorative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AppleSystemUIFont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.PingFang SC Regular">
    <w:altName w:val="苹方-简"/>
    <w:panose1 w:val="020B0604020202020204"/>
    <w:charset w:val="50"/>
    <w:family w:val="auto"/>
    <w:pitch w:val="default"/>
    <w:sig w:usb0="00000000" w:usb1="00000000" w:usb2="00000017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Hiragino Sans">
    <w:panose1 w:val="020B0700000000000000"/>
    <w:charset w:val="80"/>
    <w:family w:val="auto"/>
    <w:pitch w:val="default"/>
    <w:sig w:usb0="800002CF" w:usb1="6AC7FCFC" w:usb2="00000012" w:usb3="00000000" w:csb0="0002000D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YShuSongEr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altName w:val="苹方-简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Hiragino Sans GB W3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儷黑 Pro">
    <w:altName w:val="苹方-简"/>
    <w:panose1 w:val="020B0500000000000000"/>
    <w:charset w:val="88"/>
    <w:family w:val="auto"/>
    <w:pitch w:val="default"/>
    <w:sig w:usb0="00000000" w:usb1="00000000" w:usb2="00000016" w:usb3="00000000" w:csb0="00100000" w:csb1="00000000"/>
  </w:font>
  <w:font w:name="华文楷体">
    <w:altName w:val="华文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Times New Roman Regular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华文黑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  <w:ind w:firstLine="840" w:firstLineChars="400"/>
      <w:rPr>
        <w:sz w:val="21"/>
        <w:szCs w:val="21"/>
      </w:rPr>
    </w:pPr>
    <w:r>
      <w:rPr>
        <w:sz w:val="21"/>
      </w:rPr>
      <w:pict>
        <v:line id="_x0000_s2049" o:spid="_x0000_s2049" o:spt="20" style="position:absolute;left:0pt;margin-left:9.55pt;margin-top:26.65pt;height:0pt;width:457.3pt;z-index:251658240;mso-width-relative:page;mso-height-relative:page;" filled="f" stroked="t" coordsize="21600,21600" o:gfxdata="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FgAAAGRycy9QSwECFAAUAAAACACHTuJA&#10;c8SbvtUAAAAIAQAADwAAAAAAAAABACAAAAA4AAAAZHJzL2Rvd25yZXYueG1sUEsBAhQAFAAAAAgA&#10;h07iQDYzQjSgAQAAIgMAAA4AAAAAAAAAAQAgAAAAOgEAAGRycy9lMm9Eb2MueG1sUEsFBgAAAAAG&#10;AAYAWQEAAEwFAAAAAA==&#10;">
          <v:path arrowok="t"/>
          <v:fill on="f" focussize="0,0"/>
          <v:stroke color="#000000" joinstyle="round"/>
          <v:imagedata o:title=""/>
          <o:lock v:ext="edit" aspectratio="f"/>
        </v:lin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bordersDoNotSurroundHeader w:val="1"/>
  <w:bordersDoNotSurroundFooter w:val="1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7A2"/>
    <w:rsid w:val="000325EA"/>
    <w:rsid w:val="000620C0"/>
    <w:rsid w:val="0007335D"/>
    <w:rsid w:val="00155DCA"/>
    <w:rsid w:val="0024039D"/>
    <w:rsid w:val="003F76DE"/>
    <w:rsid w:val="004C30F4"/>
    <w:rsid w:val="005A02C3"/>
    <w:rsid w:val="00600335"/>
    <w:rsid w:val="0066289B"/>
    <w:rsid w:val="00770CA1"/>
    <w:rsid w:val="00844B4C"/>
    <w:rsid w:val="00875238"/>
    <w:rsid w:val="008919E8"/>
    <w:rsid w:val="009D0BFA"/>
    <w:rsid w:val="00A627A2"/>
    <w:rsid w:val="00A6753C"/>
    <w:rsid w:val="00A84033"/>
    <w:rsid w:val="00A977A5"/>
    <w:rsid w:val="00B25CFE"/>
    <w:rsid w:val="00B36C2D"/>
    <w:rsid w:val="00B656A2"/>
    <w:rsid w:val="00B71323"/>
    <w:rsid w:val="00BA306C"/>
    <w:rsid w:val="00BA6E27"/>
    <w:rsid w:val="00C71FA9"/>
    <w:rsid w:val="00ED18B6"/>
    <w:rsid w:val="00F139F4"/>
    <w:rsid w:val="00FA54CF"/>
    <w:rsid w:val="00FF191E"/>
    <w:rsid w:val="049E4E8B"/>
    <w:rsid w:val="050947C0"/>
    <w:rsid w:val="0A504648"/>
    <w:rsid w:val="0BE972B2"/>
    <w:rsid w:val="0CDB3C4A"/>
    <w:rsid w:val="0D152111"/>
    <w:rsid w:val="0F8F7180"/>
    <w:rsid w:val="1087324A"/>
    <w:rsid w:val="10FA1CBD"/>
    <w:rsid w:val="152605ED"/>
    <w:rsid w:val="161052DF"/>
    <w:rsid w:val="1C5E25C1"/>
    <w:rsid w:val="1CF903C1"/>
    <w:rsid w:val="1DEC5D47"/>
    <w:rsid w:val="1E464D49"/>
    <w:rsid w:val="205D6A41"/>
    <w:rsid w:val="208005C1"/>
    <w:rsid w:val="226054EF"/>
    <w:rsid w:val="242A143F"/>
    <w:rsid w:val="29522786"/>
    <w:rsid w:val="2A5A1AED"/>
    <w:rsid w:val="2BA17B57"/>
    <w:rsid w:val="2CA9335D"/>
    <w:rsid w:val="34E30907"/>
    <w:rsid w:val="34ED77D9"/>
    <w:rsid w:val="355F1F77"/>
    <w:rsid w:val="364A23EB"/>
    <w:rsid w:val="37385627"/>
    <w:rsid w:val="38011AF0"/>
    <w:rsid w:val="38E20EF9"/>
    <w:rsid w:val="3EC73566"/>
    <w:rsid w:val="3EF97F1A"/>
    <w:rsid w:val="432849AB"/>
    <w:rsid w:val="43D32185"/>
    <w:rsid w:val="450D399F"/>
    <w:rsid w:val="46E912E2"/>
    <w:rsid w:val="4B102D26"/>
    <w:rsid w:val="4DB20E54"/>
    <w:rsid w:val="4F056ABF"/>
    <w:rsid w:val="4F9C6943"/>
    <w:rsid w:val="507E2EFC"/>
    <w:rsid w:val="51544BEB"/>
    <w:rsid w:val="5168430F"/>
    <w:rsid w:val="52F45B19"/>
    <w:rsid w:val="572F428E"/>
    <w:rsid w:val="57E978B0"/>
    <w:rsid w:val="5B667117"/>
    <w:rsid w:val="5EAA75AE"/>
    <w:rsid w:val="5FC31D4C"/>
    <w:rsid w:val="65465C72"/>
    <w:rsid w:val="664C2D4A"/>
    <w:rsid w:val="677FDC73"/>
    <w:rsid w:val="67FEB49F"/>
    <w:rsid w:val="68A63016"/>
    <w:rsid w:val="6AC768DC"/>
    <w:rsid w:val="6C127F18"/>
    <w:rsid w:val="6CAC1A39"/>
    <w:rsid w:val="6F0E68F5"/>
    <w:rsid w:val="71630CA6"/>
    <w:rsid w:val="74081789"/>
    <w:rsid w:val="75E26D0E"/>
    <w:rsid w:val="78F04CAD"/>
    <w:rsid w:val="792F78AD"/>
    <w:rsid w:val="7AE45D74"/>
    <w:rsid w:val="7BC042E7"/>
    <w:rsid w:val="7D6E6D46"/>
    <w:rsid w:val="7DD176CC"/>
    <w:rsid w:val="7DDB0290"/>
    <w:rsid w:val="7E3BA5C4"/>
    <w:rsid w:val="7E7708AE"/>
    <w:rsid w:val="7F323224"/>
    <w:rsid w:val="7FEF9429"/>
    <w:rsid w:val="8FFF8DE8"/>
    <w:rsid w:val="99B7FC18"/>
    <w:rsid w:val="BDAB5107"/>
    <w:rsid w:val="DF7F5DDB"/>
    <w:rsid w:val="EFFF148E"/>
    <w:rsid w:val="F1AF3D69"/>
    <w:rsid w:val="F3EF42E4"/>
    <w:rsid w:val="FF734578"/>
    <w:rsid w:val="FFB18454"/>
    <w:rsid w:val="FFFD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</w:r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脚 字符"/>
    <w:link w:val="3"/>
    <w:qFormat/>
    <w:uiPriority w:val="99"/>
    <w:rPr>
      <w:sz w:val="18"/>
    </w:rPr>
  </w:style>
  <w:style w:type="character" w:customStyle="1" w:styleId="11">
    <w:name w:val="批注框文本 字符"/>
    <w:link w:val="2"/>
    <w:semiHidden/>
    <w:qFormat/>
    <w:uiPriority w:val="99"/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microsoft.com/office/2007/relationships/hdphoto" Target="media/image3.jpeg"/><Relationship Id="rId11" Type="http://schemas.openxmlformats.org/officeDocument/2006/relationships/image" Target="media/image2.pn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2230</Words>
  <Characters>3100</Characters>
  <Lines>27</Lines>
  <Paragraphs>7</Paragraphs>
  <ScaleCrop>false</ScaleCrop>
  <LinksUpToDate>false</LinksUpToDate>
  <CharactersWithSpaces>3540</CharactersWithSpaces>
  <Application>WPS Office_3.6.1.5768_F1E327BC-269C-435d-A152-05C5408002CA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2020-11-21T11:04:00Z</dcterms:created>
  <dc:creator>Administrator</dc:creator>
  <cp:lastModifiedBy>heyang</cp:lastModifiedBy>
  <cp:lastPrinted>2019-09-06T19:41:00Z</cp:lastPrinted>
  <dcterms:modified xsi:type="dcterms:W3CDTF">2022-04-27T16:12:30Z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2052-3.6.1.5768</vt:lpwstr>
  </property>
</Properties>
</file>